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128F939F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5E5D93">
              <w:rPr>
                <w:rFonts w:eastAsia="Times New Roman" w:cs="Arial"/>
                <w:szCs w:val="20"/>
                <w:lang w:eastAsia="de-DE"/>
              </w:rPr>
              <w:t>16-154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5B44A2E1" w:rsidR="00E75FB9" w:rsidRPr="00E75FB9" w:rsidRDefault="005E5D93" w:rsidP="00A84CFC">
            <w:pPr>
              <w:spacing w:line="276" w:lineRule="auto"/>
              <w:ind w:firstLine="0"/>
              <w:jc w:val="left"/>
            </w:pPr>
            <w:r w:rsidRPr="005E5D93">
              <w:t>Fachplanung zur Beschaffung eines Einsatzleitsystems und standardisierten Notrufabfrageprotokolls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0D6E1009" w14:textId="77777777" w:rsidR="00A4533C" w:rsidRDefault="00A4533C" w:rsidP="00A4533C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6111C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3E4034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5D93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2026-05-20T06:01:00Z</dcterms:modified>
</cp:coreProperties>
</file>